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693" w:rightChars="-330" w:firstLine="153" w:firstLineChars="24"/>
        <w:jc w:val="both"/>
        <w:rPr>
          <w:rFonts w:hint="eastAsia" w:ascii="方正小标宋简体" w:hAnsi="方正小标宋简体" w:eastAsia="方正小标宋简体" w:cs="方正小标宋简体"/>
          <w:b w:val="0"/>
          <w:bCs/>
          <w:color w:val="FF0000"/>
          <w:w w:val="100"/>
          <w:sz w:val="96"/>
          <w:szCs w:val="96"/>
          <w:lang w:eastAsia="zh-CN"/>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6"/>
                    <a:stretch>
                      <a:fillRect/>
                    </a:stretch>
                  </pic:blipFill>
                  <pic:spPr>
                    <a:xfrm>
                      <a:off x="0" y="0"/>
                      <a:ext cx="3001645" cy="884555"/>
                    </a:xfrm>
                    <a:prstGeom prst="rect">
                      <a:avLst/>
                    </a:prstGeom>
                    <a:noFill/>
                    <a:ln>
                      <a:noFill/>
                    </a:ln>
                  </pic:spPr>
                </pic:pic>
              </a:graphicData>
            </a:graphic>
          </wp:inline>
        </w:drawing>
      </w:r>
    </w:p>
    <w:p>
      <w:pPr>
        <w:ind w:left="-359" w:leftChars="-171" w:right="-693" w:rightChars="-330" w:firstLine="268" w:firstLineChars="24"/>
        <w:jc w:val="center"/>
        <w:rPr>
          <w:rFonts w:hint="eastAsia" w:ascii="方正小标宋简体" w:hAnsi="方正小标宋简体" w:eastAsia="方正小标宋简体" w:cs="方正小标宋简体"/>
          <w:b w:val="0"/>
          <w:bCs/>
          <w:color w:val="FF0000"/>
          <w:w w:val="100"/>
          <w:sz w:val="96"/>
          <w:szCs w:val="96"/>
        </w:rPr>
      </w:pPr>
      <w:r>
        <w:rPr>
          <w:rFonts w:hint="eastAsia" w:ascii="方正小标宋简体" w:hAnsi="方正小标宋简体" w:eastAsia="方正小标宋简体" w:cs="方正小标宋简体"/>
          <w:b w:val="0"/>
          <w:bCs/>
          <w:color w:val="FF0000"/>
          <w:w w:val="100"/>
          <w:sz w:val="112"/>
          <w:szCs w:val="112"/>
          <w:lang w:eastAsia="zh-CN"/>
        </w:rPr>
        <w:t>评</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建</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工</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lang w:eastAsia="zh-CN"/>
        </w:rPr>
        <w:t>作</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简</w:t>
      </w:r>
      <w:r>
        <w:rPr>
          <w:rFonts w:hint="eastAsia" w:ascii="方正小标宋简体" w:hAnsi="方正小标宋简体" w:eastAsia="方正小标宋简体" w:cs="方正小标宋简体"/>
          <w:b w:val="0"/>
          <w:bCs/>
          <w:color w:val="FF0000"/>
          <w:w w:val="30"/>
          <w:sz w:val="112"/>
          <w:szCs w:val="112"/>
          <w:lang w:val="en-US" w:eastAsia="zh-CN"/>
        </w:rPr>
        <w:t xml:space="preserve"> </w:t>
      </w:r>
      <w:r>
        <w:rPr>
          <w:rFonts w:hint="eastAsia" w:ascii="方正小标宋简体" w:hAnsi="方正小标宋简体" w:eastAsia="方正小标宋简体" w:cs="方正小标宋简体"/>
          <w:b w:val="0"/>
          <w:bCs/>
          <w:color w:val="FF0000"/>
          <w:w w:val="100"/>
          <w:sz w:val="112"/>
          <w:szCs w:val="112"/>
        </w:rPr>
        <w:t>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sz w:val="30"/>
          <w:szCs w:val="30"/>
        </w:rPr>
      </w:pPr>
      <w:r>
        <w:rPr>
          <w:rFonts w:hint="eastAsia" w:ascii="黑体" w:eastAsia="黑体"/>
          <w:sz w:val="30"/>
          <w:szCs w:val="30"/>
          <w:lang w:val="en-US" w:eastAsia="zh-CN"/>
        </w:rPr>
        <w:t>2019年第5期</w:t>
      </w:r>
      <w:r>
        <w:rPr>
          <w:rFonts w:hint="eastAsia" w:ascii="黑体" w:eastAsia="黑体"/>
          <w:sz w:val="30"/>
          <w:szCs w:val="30"/>
        </w:rPr>
        <w:t>（</w:t>
      </w:r>
      <w:r>
        <w:rPr>
          <w:rFonts w:hint="eastAsia" w:ascii="黑体" w:eastAsia="黑体"/>
          <w:sz w:val="30"/>
          <w:szCs w:val="30"/>
          <w:lang w:eastAsia="zh-CN"/>
        </w:rPr>
        <w:t>总</w:t>
      </w:r>
      <w:r>
        <w:rPr>
          <w:rFonts w:hint="eastAsia" w:ascii="黑体" w:eastAsia="黑体"/>
          <w:sz w:val="30"/>
          <w:szCs w:val="30"/>
        </w:rPr>
        <w:t>第</w:t>
      </w:r>
      <w:r>
        <w:rPr>
          <w:rFonts w:hint="eastAsia" w:ascii="黑体" w:eastAsia="黑体"/>
          <w:sz w:val="30"/>
          <w:szCs w:val="30"/>
          <w:lang w:val="en-US" w:eastAsia="zh-CN"/>
        </w:rPr>
        <w:t>7</w:t>
      </w:r>
      <w:r>
        <w:rPr>
          <w:rFonts w:hint="eastAsia" w:ascii="黑体" w:eastAsia="黑体"/>
          <w:sz w:val="30"/>
          <w:szCs w:val="30"/>
        </w:rPr>
        <w:t>期）</w:t>
      </w:r>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trPr>
        <w:tc>
          <w:tcPr>
            <w:tcW w:w="8922" w:type="dxa"/>
            <w:tcBorders>
              <w:tl2br w:val="nil"/>
              <w:tr2bl w:val="nil"/>
            </w:tcBorders>
            <w:noWrap w:val="0"/>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评估与建设工作办公室</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9</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5</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31</w:t>
            </w:r>
            <w:r>
              <w:rPr>
                <w:rFonts w:hint="eastAsia" w:ascii="楷体" w:hAnsi="楷体" w:eastAsia="楷体" w:cs="楷体"/>
                <w:b w:val="0"/>
                <w:bCs/>
                <w:color w:val="auto"/>
                <w:w w:val="100"/>
                <w:sz w:val="30"/>
                <w:u w:val="none"/>
              </w:rPr>
              <w:t>日</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bCs/>
          <w:sz w:val="36"/>
          <w:szCs w:val="36"/>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本期导读：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我校与湖北大学签订合作框架协议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学校举办第十一届青年教师教学技能竞赛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我校举办2019年师范教育专业教学技能比赛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right="0"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我校在年度全省教育系统“两创两争”活动评选中获奖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我校成功获批2019年全省高校网络文化建设精品项目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土木工程学院师生在全国大学生结构设计竞赛河南省分区赛中再获佳绩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firstLineChars="200"/>
        <w:jc w:val="both"/>
        <w:textAlignment w:val="auto"/>
        <w:rPr>
          <w:rFonts w:hint="eastAsia" w:ascii="仿宋" w:hAnsi="仿宋" w:eastAsia="仿宋" w:cs="仿宋"/>
          <w:b w:val="0"/>
          <w:bCs/>
          <w:i w:val="0"/>
          <w:caps w:val="0"/>
          <w:color w:val="auto"/>
          <w:spacing w:val="0"/>
          <w:kern w:val="0"/>
          <w:sz w:val="32"/>
          <w:szCs w:val="32"/>
          <w:shd w:val="clear" w:fill="FFFFFF"/>
          <w:lang w:val="en-US" w:eastAsia="zh-CN" w:bidi="ar"/>
        </w:rPr>
      </w:pPr>
      <w:r>
        <w:rPr>
          <w:rFonts w:hint="eastAsia" w:ascii="仿宋" w:hAnsi="仿宋" w:eastAsia="仿宋" w:cs="仿宋"/>
          <w:b w:val="0"/>
          <w:bCs/>
          <w:sz w:val="32"/>
          <w:szCs w:val="32"/>
          <w:lang w:val="en-US" w:eastAsia="zh-CN"/>
        </w:rPr>
        <w:t>◆</w:t>
      </w:r>
      <w:r>
        <w:rPr>
          <w:rFonts w:hint="eastAsia" w:ascii="仿宋" w:hAnsi="仿宋" w:eastAsia="仿宋" w:cs="仿宋"/>
          <w:b w:val="0"/>
          <w:bCs/>
          <w:i w:val="0"/>
          <w:caps w:val="0"/>
          <w:color w:val="auto"/>
          <w:spacing w:val="0"/>
          <w:kern w:val="0"/>
          <w:sz w:val="32"/>
          <w:szCs w:val="32"/>
          <w:shd w:val="clear" w:fill="FFFFFF"/>
          <w:lang w:val="en-US" w:eastAsia="zh-CN" w:bidi="ar"/>
        </w:rPr>
        <w:t>数学与信息学院在第十届“蓝桥杯”全国软件和信息技术专业人才大赛河南赛区中获得佳绩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right="0" w:firstLine="640" w:firstLineChars="200"/>
        <w:jc w:val="both"/>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sz w:val="32"/>
          <w:szCs w:val="32"/>
          <w:lang w:val="en-US" w:eastAsia="zh-CN"/>
        </w:rPr>
        <w:t>◆商学院</w:t>
      </w:r>
      <w:r>
        <w:rPr>
          <w:rFonts w:hint="eastAsia" w:ascii="仿宋" w:hAnsi="仿宋" w:eastAsia="仿宋" w:cs="仿宋"/>
          <w:b w:val="0"/>
          <w:bCs/>
          <w:i w:val="0"/>
          <w:caps w:val="0"/>
          <w:color w:val="auto"/>
          <w:spacing w:val="0"/>
          <w:kern w:val="0"/>
          <w:sz w:val="32"/>
          <w:szCs w:val="32"/>
          <w:shd w:val="clear" w:fill="FFFFFF"/>
          <w:lang w:val="en-US" w:eastAsia="zh-CN" w:bidi="ar"/>
        </w:rPr>
        <w:t>师生在第十五届全国大学生“新道杯”沙盘模拟经营大赛河南省总决赛中再获佳绩</w:t>
      </w:r>
    </w:p>
    <w:p/>
    <w:tbl>
      <w:tblPr>
        <w:tblStyle w:val="6"/>
        <w:tblW w:w="906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9061" w:type="dxa"/>
            <w:tcBorders>
              <w:tl2br w:val="nil"/>
              <w:tr2bl w:val="nil"/>
            </w:tcBorders>
            <w:vAlign w:val="top"/>
          </w:tcPr>
          <w:p>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报：校领导，评建工作领导组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exact"/>
        </w:trPr>
        <w:tc>
          <w:tcPr>
            <w:tcW w:w="9061" w:type="dxa"/>
            <w:tcBorders>
              <w:tl2br w:val="nil"/>
              <w:tr2bl w:val="nil"/>
            </w:tcBorders>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发：各学院，机关各部门</w:t>
            </w:r>
            <w:r>
              <w:rPr>
                <w:rFonts w:hint="eastAsia" w:ascii="仿宋" w:hAnsi="仿宋" w:eastAsia="仿宋" w:cs="仿宋"/>
                <w:sz w:val="32"/>
                <w:szCs w:val="32"/>
                <w:vertAlign w:val="baseline"/>
                <w:lang w:val="en-US" w:eastAsia="zh-CN"/>
              </w:rPr>
              <w:t xml:space="preserve">                      （共30份）</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color="auto" w:fill="FFFFFF"/>
        </w:rPr>
        <w:sectPr>
          <w:footerReference r:id="rId3" w:type="default"/>
          <w:pgSz w:w="11906" w:h="16838"/>
          <w:pgMar w:top="2098" w:right="1474" w:bottom="1928" w:left="1587" w:header="851" w:footer="992" w:gutter="0"/>
          <w:pgBorders w:offsetFrom="page">
            <w:top w:val="none" w:sz="0" w:space="0"/>
            <w:left w:val="none" w:sz="0" w:space="0"/>
            <w:bottom w:val="none" w:sz="0" w:space="0"/>
            <w:right w:val="none" w:sz="0" w:space="0"/>
          </w:pgBorders>
          <w:pgNumType w:fmt="decimal" w:start="0"/>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32"/>
          <w:szCs w:val="32"/>
        </w:rPr>
      </w:pPr>
      <w:r>
        <w:rPr>
          <w:rFonts w:hint="eastAsia" w:ascii="方正小标宋简体" w:hAnsi="方正小标宋简体" w:eastAsia="方正小标宋简体" w:cs="方正小标宋简体"/>
          <w:b/>
          <w:bCs/>
          <w:sz w:val="44"/>
          <w:szCs w:val="44"/>
        </w:rPr>
        <w:t>我校与湖北大学签订合作框架协议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23日，我校与湖北大学合作框架协议签约仪式在综合楼1410会议室举行。湖北大学校长谢红星、副校长钱建国和有关部门负责人；我校理事长高云，名誉校长王北生，党委书记郑先明，战略发展咨询委员会主任熊健民，党委专职副书记施昌海，常务副校长傅洪涛，副校长王志华，校长助理高雅、杨高伟、张永志出席签约仪式。学校理事办、校办、教务处、科研处、人事处、宣传部、发展规划处、国际交流合作处等单位负责人参加了签约仪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云致欢迎辞，对谢红星一行表示热烈欢迎，并简要介绍了学校的发展历程和办学成果。她说，面对全面落实教育优先发展战略的重大历史机遇，在学校加强内涵建设和全面启动迎评促建的关键时期，我校加强与名校间的交流合作，对于快速提升学校的综合实力和人才培养质量有着重大意义。信阳学院能够与湖北大学这样的高水平综合性大学建立合作关系，构建长期战略合作机制，可以说是一次难得的发展机遇。湖北大学将在学科和专业建设、教学和科学研究等方面，为我校提供大力支持和帮助，令人感到十分欣喜和鼓舞。信阳学院将全力做好保障工作，确保后续各项合作事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云表示，本学期，我校聘请熊健民教授担任战略发展咨询委员会主任，为学校更好更快发展提供了重要智慧支撑，同时推动了湖北大学与信阳学院的校际合作交流。希望未来两校不断拓宽合作领域，加强深度合作，实现优势互补，携手共建，资源共享，互利共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谢红星对信阳学院的热情接待表示感谢。他说，此次签订合作协议，开启公办学校和民办学校合作的典范，也是湖北省和河南省高等教育紧密合作的良好开端，对两校未来的发展都是很好的机遇。高等教育在发展过程中，有不同的分工，在精英化向大众化、普及化转变过程中，责任重大，义不容辞。随着社会对人才需求多元化，公办高校与民办高校合作越来越紧密。公办高校在人才培养、科学研究、社会服务等方面具有自身优势，民办高校在应用型、复合型、技能型人才培养上发挥了不可替代的作用。两种不同的高等教育资源需要相互交流、相互合作、取长补短、力求多赢。湖北大学和信阳学院签订合作协议，双方在人才培养方面可以发挥各自优长和特色，实现资源共享；在服务地方经济社会发展、推进国际化进程中携手共进。希望双方共同努力，把两校的合作做实、做好，取得丰硕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熊健民在讲话中表达了对湖北大学的深厚情谊和两校合作的良好愿景。他说，自己在湖北大学工作多年，与学校师生建立了深厚的情谊；家乡的信阳学院快速发展，是民办高校中后起之秀。今天，湖北大学与信阳学院签署合作协议，是一个值得铭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的日子。在科技迅猛发展、经济全球化的大背景下，要办好一所大学，必须走开放、交流、协同的道路。信阳学院和湖北大学虽然隶属不同省份，但在探究知识、探求未知和追求真理视角下，大学无国界，更无省界。两校地理位置相邻，交通便利，有利于相互间的合作和交流。自己将发挥好纽带作用，为两校合作献计献策，使之取得实效，为信阳学院内涵建设和质量提升添砖加瓦，为两校又好又快发展做出积极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在热烈的气氛下，谢红星与高云共同签署了湖北大学与信阳学院合作框架协议，并互赠纪念品、合影留念。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王北生在主持会议时表示，湖北大学和信阳学院签订合作框架协议，开启了两校深化合作的新篇章。双方就合作框架交流了意见，达成了重要共识。此次合作，湖北大学对信阳学院的指导和帮助将是全方位的。相信随着合作深化，必将助推信阳学院快速发展、高质量发展，尽快驶入提质增效的快车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学校举办第十一届青年教师教学技能竞赛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23日上午，学校第十一届青年教师教学技能竞赛决赛分别在综合楼202、203、205教室同时举行。校长助理高雅、张永志等出席赛事活动，各学院院长及有关专家担任评委，教务处、学报编辑部等相关单位负责人及师生代表观摩了竞赛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活动伊始，有关校领导在讲话中表示，青年教师教学技能竞赛作为学校的一项传统赛事，已连续举办十届，是青年教师交流学习、切磋教艺，不断提升教学技能水平的重要平台。本次竞赛活动是对我校近年来教学改革工作的检验，希望各单位以此为契机，及时总结，发挥优长，弥补不足，不断提高教师教学技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决赛分为综合一组、综合二组和综合三组，共有10个教学单位共计30名教师参赛。参赛教师准备充分，以平和自然的心态和积极进取的精神投入比赛，将先进的教育教学思想、育人理念和教学方法融入到各个环节。他们饱满的精神状态、图文并茂的课件、生动活泼的课堂互动和丰富的教学内容，充分展示了新时代大学教师的师德风范和教学风采。赛后，评委组组长对选手的表现做了精彩点评，在教学组织、教学方法、教学艺术等方面提出了改进意见与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过一天的激烈角逐，张孟杰、陈小静、李彩娟等荣获一等奖，张佳佳、崔亚萌、苑倩倩等荣获二等奖，叶凡、王永莉、秦静诗、董康坦、万秀芬、刘岗生、魏新玲、任倩、赵俊远等荣获三等奖，朱新荣、闫春丽、张喜芹、冯忆、陈俊明、王斐、郝斌、张菓、闫楷汶、邱京京、张骁、李星、刘磊、樊玲、郭晶晶等荣获优秀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有关领导和评委组组长为获奖教师颁发了证书。教务处处长陈文涛对本次竞赛活动作了总体评价，对获奖选手表示祝贺，对各位评委及为本次竞赛付出辛勤努力的师生们表示感谢。他说，竞赛检验了我校教师教育教学水平，推动了教研工作。参赛教师注重创新教学模式和教学方法，充分利用现代教育技术、项目导向和案例教学，各具特色，对进一步提升教师的专业素养和教育教学能力起到了很好的示范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办教师教学大赛是学校全面贯彻党的教育方针、落实立德树人根本任务、办好人民满意教育的重要举措，对于提高我校教师课堂教学水平，打造“金课”、淘汰“水课”，提升人才培养质量发挥了积极作用。广大教师要以本次教学竞赛为契机，切实推进教学改革，全面提高人才培养质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我校举办2019年师范教育专业教学技能比赛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29日下午，我校2019年师范教育专业教学技能比赛在综合楼教室分5组进行。有关校领导出席了赛事活动。教务处处长陈文涛、副处长邓荣娟，力菲幼儿园园长、信阳学院幼儿园园长及我校有关教师担任评委。师生代表观摩了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比赛经过逐层选拔共有来自8个学院44名选手参加比赛。选手们在展示过程中，沉着冷静、落落大方、娴熟自如，充分展示了我校师范生昂扬向上的精神风貌和扎实的教育教学实践能力。展示完毕后，评委认真从教学目标、教学方法、教学过程、教学效果等方面对选手的表现进行点评，充分肯定了选手的亮点，同时也对学生的不足提出了中肯的改进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陈文涛宣布了比赛成绩。文科组师雨、张宁宁、左佳琪、叶亚男荣获一等奖，逯茜文、王远、何清锐、刘文利、张瑾荣获二等奖，武婧婧、张娟、宋艳茹、李威、杨畅、程雨诗荣获三等奖，张佳丽、林亦璇、王静雅、周冰倩、张馨月、张亦欣、袁兰兰、葛潇洒、陈思丹、都国玲、邓晶晶、谢梦兰荣获优秀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理科组廖丹荣获一等奖，闫会芳、明红梅荣获二等奖，刘子乐、候金娣荣获三等奖，马超越、任文杰、余雪杰荣获优秀奖。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学前教育组胡清华荣获一等奖，程思雨、宋雯雯荣获二等奖，王琦、李铭浩荣获三等奖，王倩、田金金、张晓宇荣获优秀奖。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校领导为获奖学生颁奖</w:t>
      </w:r>
      <w:r>
        <w:rPr>
          <w:rFonts w:hint="eastAsia" w:ascii="仿宋" w:hAnsi="仿宋" w:eastAsia="仿宋" w:cs="仿宋"/>
          <w:sz w:val="32"/>
          <w:szCs w:val="32"/>
          <w:lang w:eastAsia="zh-CN"/>
        </w:rPr>
        <w:t>并</w:t>
      </w:r>
      <w:r>
        <w:rPr>
          <w:rFonts w:hint="eastAsia" w:ascii="仿宋" w:hAnsi="仿宋" w:eastAsia="仿宋" w:cs="仿宋"/>
          <w:sz w:val="32"/>
          <w:szCs w:val="32"/>
        </w:rPr>
        <w:t>作了总结讲话，充分肯定了学校师范生技能培养取得的成绩</w:t>
      </w:r>
      <w:r>
        <w:rPr>
          <w:rFonts w:hint="eastAsia" w:ascii="仿宋" w:hAnsi="仿宋" w:eastAsia="仿宋" w:cs="仿宋"/>
          <w:sz w:val="32"/>
          <w:szCs w:val="32"/>
          <w:lang w:eastAsia="zh-CN"/>
        </w:rPr>
        <w:t>。同时</w:t>
      </w:r>
      <w:r>
        <w:rPr>
          <w:rFonts w:hint="eastAsia" w:ascii="仿宋" w:hAnsi="仿宋" w:eastAsia="仿宋" w:cs="仿宋"/>
          <w:sz w:val="32"/>
          <w:szCs w:val="32"/>
        </w:rPr>
        <w:t>表示，本次比赛为参加河南省第十七届高等学校师范教育毕业生教学技能大赛选拔了人才，体现了我校师范专业的教育教学改革成绩，检验了师范专业的教学效果，展示了师范生良好的教师职业技能功底，为不断提高学生教育教学技能，提升综合素质起到了良好示范作用。希望各单位充分认识加强学生实践能力培养的重要意义，调动学生的主动性与创造性，为将来成为优秀教师发挥积极作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我校在2019年度全省教育系统“两创两争”活动评选中获奖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前，中共河南省委高校工委、河南省教育厅下发《关于公布2019年度全省教育系统“两创两争”活动先进集体和个人评选结果的通知》（教思政〔2019〕351号），对2019年度全省教育系统“两创两争”活动先进集体和先进个人进行了表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教育学院教师杨立昊荣获“河南省2019年度文明教师”荣誉称号，音乐学院2016级音乐学本科2班（班主任梁晓梅）荣获“河南省2019年度文明班级”荣誉称号，商学院学生焦晓晨、张博和外国语学院学生杨志强荣获“河南省2019年度文明学生”荣誉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我校深入学习贯彻习近平新时代中国特色社会主义思想和党的十九大精神，持续贯彻落实全国全省教育大会、高校思想政治工作会议精神，大力弘扬共筑美好生活梦想的时代新风，紧紧围绕“立德树人”根本任务，紧密结合学校工作实际，深入开展主题突出、内容丰富的精神文明建设活动，广大师生文明素质不断提高，校园文化氛围愈加浓厚，涌现出一大批先进集体和先进个人，上述受到表彰的师生是其中的优秀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我校将继续围绕人才培养中心工作，通过课程培育、思想引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导、校园文化、社会实践等多平台多途径，扎实推进学校精神文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文明建设，为办好人民满意的教育做出积极贡献。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我校成功获批2019年全省高校网络文化建设精品项目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17日，中共河南省委高校工委、河南省教育厅下发了《关于公布2019年全省高校网络文化建设精品项目评审结果的通知》（教思政〔2019〕342号）。由我校党委学工部申报的《信阳学院“芳草园”网络育人微矩阵建设》在全省诸多高校申报项目中脱颖而出，获得立项。这是继去年党委宣传部申报的《构建三全大宣传格局，牢筑网络意识形态阵地》项目成功获批后，再次获得的又一项省高校网络文化建设精品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芳草园”育人网络微矩阵构建了以“信阳学院学工君”“学习生活导师园地”“信院心理学堂”“信阳学院公寓办”为主、校内二级单位新媒体平台为辅的两级新媒体平台，合计关注人数近4万。其中，微信公众号“信阳学院学工君”开设了“学工速递”“聚焦学工”“辅导员说”三大栏目，囊括了新闻动态、通知公告、导师园地、学生资助、征兵入伍、心理健康、公寓管理、辅导员培训及专项研究等诸多方面；坚持每日更新内容，在“朋友圈”里发布信息，将“大道理”转变为“小微语”，以广大学生喜闻乐见的网络表达方式传递正能量，每一个栏目、每一篇推文都能够贴近学生、服务学生、引导教育学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年来，我校高度重视网络思想政治教育工作，建立健全校园网络文化建设管理的组织机构和管理体系，形成了理事会、党委、行政及全校群团组织和各单位自上而下全覆盖的网络思政格局，在营造立德树人根本任务中发挥了重要作用。本次申报活动由党委宣传部牵头组织，相关职能部门积极参与，最终推选出学工部担纲的优秀项目进行申报，并成功获批。学校将以此为契机，不断整合力量，打造师生喜闻乐见的校园网络文化精品平台，真正实现以文化人、以文育人，为服务学校发展提供强大的精神动力和文化支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土木工程学院师生在全国大学生结构设计竞赛河南省分区赛中再获佳绩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17日至19日，由河南省建设教育协会主办、南阳师范学院承办的“领驭杯”河南省第八届大学生结构设计竞赛暨全国大学生结构设计竞赛河南省分区赛在南阳师范学院举行。由我校土木工程学院党总支书记潘卫国任领队，青年教师付善春、王冬冬任指导教师，李嘉馨、王铁、刘鹏、齐柳钰、刘超凡、管腾达、刘亲鹏、郭东慧、李晓东等9名学生组成的两支本科代表队和一支专科代表队前往参赛。经过激烈角逐，我校代表队斩获最佳结构分析奖、两项二等奖和优秀奖共四项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次赛题为附着式升降脚手架支撑结构模型设计，在指导教师的悉心指导下，土木工程学院三支代表队在模型制作、模型介绍和评委答辩、模型加载等环节中表现出色，在来自我省本专科34所院校的71支参赛队伍中脱颖而出，再获佳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国大学生结构设计竞赛是教育部确定的全国九大大学生学科竞赛之一，是土木类最高水平学科竞赛，被誉为“土木皇冠上最璀璨的明珠”，旨在提高大学生创新设计能力、动手实践能力和综合素质，加强高校间的交流与合作。我校土木工程学院一直重视学生创新能力及动手能力的培养，在集团董事会、学校理事会和党委、行政的大力支持下，该院实施“牵手名校”工程，搭建与名校、名企合作平台，积极鼓励学生参加知名企业实习实训、专业竞赛等活动，注重加强学生日常专业技能训练，为学生以后更好地走向工作岗位，实现职业理想创造了有利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数学与信息学院在第十届“蓝桥杯”</w:t>
      </w:r>
      <w:bookmarkStart w:id="0" w:name="_GoBack"/>
      <w:bookmarkEnd w:id="0"/>
      <w:r>
        <w:rPr>
          <w:rFonts w:hint="eastAsia" w:ascii="方正小标宋简体" w:hAnsi="方正小标宋简体" w:eastAsia="方正小标宋简体" w:cs="方正小标宋简体"/>
          <w:sz w:val="44"/>
          <w:szCs w:val="44"/>
        </w:rPr>
        <w:t>全国软件和信息技术专业人才大赛河南赛区中获得佳绩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月24日，在黄淮学院举行的第十届蓝桥杯全国软件和信息技术专业人才大赛河南赛区比赛中，由我校数学与信息学院的骆魁永、金广坤2位教师指导的学生在比赛中获得二等奖2项、三等奖4项。其中晋永辉、高东钧同学获得C/C++程序设计大学B组河南省赛区二等奖；周恒、刘俊周、赵青翰同学获得C/C++程序设计大学B组河南省赛区三等奖；李科剑同学获得单片机设计与开发B组河南赛区三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高度重视和支持对学生实践能力和创新能力的培养，注重优秀学生的培养与选拔。本次赛前工作于2018年12月启动，数学与信息学院认真组织校内选拔赛，评选出优秀选手参赛，同时安排指导教师制定集训计划、排班辅导，加班加点对参赛选手进行集训与冲刺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据悉，为促进软件和信息领域专业技术人才培养，提升高校毕业生的就业竞争力，由教育部就业指导中心支持，工业和信息化部人才交流中心举办蓝桥杯大赛。九年来，包括北大、清华在内的超过1200余所院校，累计20万余名学子报名参赛，IBM、百度等知名企业全程参与，成为国内始终领跑的人才培养选拔模式，并获得行业深度认可的IT类科技竞赛。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商学院</w:t>
      </w:r>
      <w:r>
        <w:rPr>
          <w:rFonts w:hint="eastAsia" w:ascii="方正小标宋简体" w:hAnsi="方正小标宋简体" w:eastAsia="方正小标宋简体" w:cs="方正小标宋简体"/>
          <w:b/>
          <w:bCs/>
          <w:sz w:val="44"/>
          <w:szCs w:val="44"/>
        </w:rPr>
        <w:t>师生在第十五届全国大学生“新道杯”沙盘模拟经营大赛河南省总决赛中再获佳绩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月23日—25日，第十五届全国大学生“新道杯”沙盘模拟经营大赛河南省总决赛在郑州工程技术学院举行。来自郑州大学、河南财经政法大学、河南工业大学等省内62所高校、131支代表队、近800名师生参加本次大赛。我校选派了由商学院王喜凤、王亚丹、陈苗苗、杨蓓蓓为指导老师，靳汉铮、邓明明、佘娜娜等15名同学组成3支代表队参赛。经过激烈角逐，最终获得了2个一等奖和1个二等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大赛由河南省教育厅和郑州市人民政府指导，高等学校国家级实验教育学示范中心联席会和中国职业教育学会商科专业委员会主办，郑州工程技术学院承办，河南理工大学、安阳师范学院、郑州商学院协办，新道科技股份有限公司技术支持。大赛以“青春与创新相约，梦想与创业同行”为主题，参赛队伍通过模拟企业经营管理和企业信息化处理的形式，让学生体验企业间的竞争，熟悉生产制造、渠道建设、订单争取等多个环节的运营模拟，提升学生系统思考、整体构架的企业运营和管理能力，培养学生沟通协作能力，全面锻炼学生了解业务、掌握管理软件工具及实际动手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校已连续参加了五届此项赛事。在学校董事会、理事会和党委、行政的关心支持下，商学院师生精心准备，刻苦训练，为赢得大赛做好了充足准备。比赛过程中，选手们以超强的创新意识、不俗的实践能力和默契的团队配合，全力以赴、顽强拼搏，最终取得了突破性成绩。此次比赛有效推动了我校商科专业的教学改革和课程建设，为学生提供了发挥自身个性、激发创意思维、培育专业能力、展示聪明才华的广阔舞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sectPr>
      <w:footerReference r:id="rId4" w:type="default"/>
      <w:pgSz w:w="11906" w:h="16838"/>
      <w:pgMar w:top="2098" w:right="1474" w:bottom="1928" w:left="1588"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 w:val="clear" w:pos="8306"/>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80F5F"/>
    <w:rsid w:val="024F6571"/>
    <w:rsid w:val="034541F6"/>
    <w:rsid w:val="03544F70"/>
    <w:rsid w:val="04601C24"/>
    <w:rsid w:val="051408D0"/>
    <w:rsid w:val="054E238C"/>
    <w:rsid w:val="055353D3"/>
    <w:rsid w:val="086C562A"/>
    <w:rsid w:val="0A557FDA"/>
    <w:rsid w:val="0AA45ACE"/>
    <w:rsid w:val="0CF118A1"/>
    <w:rsid w:val="0DAE5C2A"/>
    <w:rsid w:val="10755762"/>
    <w:rsid w:val="10A624AC"/>
    <w:rsid w:val="11443292"/>
    <w:rsid w:val="11F325DC"/>
    <w:rsid w:val="12084261"/>
    <w:rsid w:val="128E7563"/>
    <w:rsid w:val="154C4CE5"/>
    <w:rsid w:val="1816515A"/>
    <w:rsid w:val="193E29B2"/>
    <w:rsid w:val="1B9A0B68"/>
    <w:rsid w:val="1C6F7234"/>
    <w:rsid w:val="1DA84736"/>
    <w:rsid w:val="1E356C3B"/>
    <w:rsid w:val="1F2114F8"/>
    <w:rsid w:val="2129437B"/>
    <w:rsid w:val="25B20A60"/>
    <w:rsid w:val="25E96F69"/>
    <w:rsid w:val="26166A4B"/>
    <w:rsid w:val="2A8A62EF"/>
    <w:rsid w:val="2DF10F64"/>
    <w:rsid w:val="2E304B7B"/>
    <w:rsid w:val="30A37361"/>
    <w:rsid w:val="33F057B0"/>
    <w:rsid w:val="358D0976"/>
    <w:rsid w:val="36990785"/>
    <w:rsid w:val="3940420A"/>
    <w:rsid w:val="3A9B702D"/>
    <w:rsid w:val="3C085737"/>
    <w:rsid w:val="3D940992"/>
    <w:rsid w:val="3D9F4E4D"/>
    <w:rsid w:val="3E345A48"/>
    <w:rsid w:val="3F927DF7"/>
    <w:rsid w:val="4137642B"/>
    <w:rsid w:val="41DB497C"/>
    <w:rsid w:val="42697EEE"/>
    <w:rsid w:val="44204E9C"/>
    <w:rsid w:val="471E2A4D"/>
    <w:rsid w:val="494B4FED"/>
    <w:rsid w:val="4BC26FBA"/>
    <w:rsid w:val="4D0F2869"/>
    <w:rsid w:val="4DA24CEF"/>
    <w:rsid w:val="4DD3793D"/>
    <w:rsid w:val="4E283660"/>
    <w:rsid w:val="4FA70420"/>
    <w:rsid w:val="50B35EE7"/>
    <w:rsid w:val="50E1180B"/>
    <w:rsid w:val="5237172F"/>
    <w:rsid w:val="52991FEF"/>
    <w:rsid w:val="537906F0"/>
    <w:rsid w:val="53B02F5F"/>
    <w:rsid w:val="54DA09C9"/>
    <w:rsid w:val="55D566F9"/>
    <w:rsid w:val="5626717F"/>
    <w:rsid w:val="58AB2CDA"/>
    <w:rsid w:val="5A8D05BC"/>
    <w:rsid w:val="5C115A28"/>
    <w:rsid w:val="60786C68"/>
    <w:rsid w:val="62A510CB"/>
    <w:rsid w:val="62D7006C"/>
    <w:rsid w:val="63CC06C6"/>
    <w:rsid w:val="642F189B"/>
    <w:rsid w:val="6794438A"/>
    <w:rsid w:val="68EF1236"/>
    <w:rsid w:val="69B87CDD"/>
    <w:rsid w:val="6DE877D9"/>
    <w:rsid w:val="6E3752CB"/>
    <w:rsid w:val="6EDE3A1A"/>
    <w:rsid w:val="70490878"/>
    <w:rsid w:val="711E6E51"/>
    <w:rsid w:val="74290B7B"/>
    <w:rsid w:val="770A4DB0"/>
    <w:rsid w:val="780169E8"/>
    <w:rsid w:val="78347D2C"/>
    <w:rsid w:val="798F7B71"/>
    <w:rsid w:val="7AA16758"/>
    <w:rsid w:val="7AB40A1F"/>
    <w:rsid w:val="7B320188"/>
    <w:rsid w:val="7C505D71"/>
    <w:rsid w:val="7D546FA4"/>
    <w:rsid w:val="7D8C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2019-04-29T01:23:00Z</cp:lastPrinted>
  <dcterms:modified xsi:type="dcterms:W3CDTF">2019-06-06T08:46:28Z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