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2019年第1期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3</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2</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28</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本期导读：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rPr>
        <w:t>我校首批南开大学留学生兼职教师顺利赴任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rPr>
        <w:t>我校</w:t>
      </w:r>
      <w:r>
        <w:rPr>
          <w:rFonts w:hint="eastAsia" w:ascii="仿宋" w:hAnsi="仿宋" w:eastAsia="仿宋" w:cs="仿宋"/>
          <w:b w:val="0"/>
          <w:bCs/>
          <w:i w:val="0"/>
          <w:caps w:val="0"/>
          <w:color w:val="auto"/>
          <w:spacing w:val="0"/>
          <w:sz w:val="32"/>
          <w:szCs w:val="32"/>
          <w:shd w:val="clear" w:color="auto" w:fill="FFFFFF"/>
          <w:lang w:eastAsia="zh-CN"/>
        </w:rPr>
        <w:t>两位</w:t>
      </w:r>
      <w:r>
        <w:rPr>
          <w:rFonts w:hint="eastAsia" w:ascii="仿宋" w:hAnsi="仿宋" w:eastAsia="仿宋" w:cs="仿宋"/>
          <w:b w:val="0"/>
          <w:bCs/>
          <w:i w:val="0"/>
          <w:caps w:val="0"/>
          <w:color w:val="auto"/>
          <w:spacing w:val="0"/>
          <w:sz w:val="32"/>
          <w:szCs w:val="32"/>
          <w:shd w:val="clear" w:color="auto" w:fill="FFFFFF"/>
        </w:rPr>
        <w:t>教师入选2018年度</w:t>
      </w:r>
      <w:r>
        <w:rPr>
          <w:rFonts w:hint="eastAsia" w:ascii="仿宋" w:hAnsi="仿宋" w:eastAsia="仿宋" w:cs="仿宋"/>
          <w:b w:val="0"/>
          <w:bCs/>
          <w:i w:val="0"/>
          <w:caps w:val="0"/>
          <w:color w:val="auto"/>
          <w:spacing w:val="0"/>
          <w:sz w:val="32"/>
          <w:szCs w:val="32"/>
          <w:shd w:val="clear" w:color="auto" w:fill="FFFFFF"/>
          <w:lang w:eastAsia="zh-CN"/>
        </w:rPr>
        <w:t>河南</w:t>
      </w:r>
      <w:r>
        <w:rPr>
          <w:rFonts w:hint="eastAsia" w:ascii="仿宋" w:hAnsi="仿宋" w:eastAsia="仿宋" w:cs="仿宋"/>
          <w:b w:val="0"/>
          <w:bCs/>
          <w:i w:val="0"/>
          <w:caps w:val="0"/>
          <w:color w:val="auto"/>
          <w:spacing w:val="0"/>
          <w:sz w:val="32"/>
          <w:szCs w:val="32"/>
          <w:shd w:val="clear" w:color="auto" w:fill="FFFFFF"/>
        </w:rPr>
        <w:t>省高校青年骨干教师培养计划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rPr>
        <w:t>我校与浪潮集团举行战略合作签约仪式</w:t>
      </w:r>
    </w:p>
    <w:p>
      <w:pPr>
        <w:keepNext w:val="0"/>
        <w:keepLines w:val="0"/>
        <w:pageBreakBefore w:val="0"/>
        <w:widowControl w:val="0"/>
        <w:kinsoku/>
        <w:wordWrap/>
        <w:overflowPunct/>
        <w:topLinePunct w:val="0"/>
        <w:autoSpaceDE/>
        <w:autoSpaceDN/>
        <w:bidi w:val="0"/>
        <w:adjustRightInd/>
        <w:snapToGrid/>
        <w:spacing w:line="600" w:lineRule="exact"/>
        <w:ind w:firstLine="655"/>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rPr>
        <w:t>我校民办高等教育研究中心获批河南省首批高校智库联盟单位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eastAsia="zh-CN"/>
        </w:rPr>
        <w:t>　　</w:t>
      </w:r>
    </w:p>
    <w:p/>
    <w:p/>
    <w:p/>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sectPr>
          <w:pgSz w:w="11906" w:h="16838"/>
          <w:pgMar w:top="2098" w:right="1474" w:bottom="1928" w:left="1587" w:header="851" w:footer="992" w:gutter="0"/>
          <w:pgBorders w:offsetFrom="page">
            <w:top w:val="none" w:sz="0" w:space="0"/>
            <w:left w:val="none" w:sz="0" w:space="0"/>
            <w:bottom w:val="none" w:sz="0" w:space="0"/>
            <w:right w:val="none" w:sz="0" w:space="0"/>
          </w:pgBorders>
          <w:pgNumType w:start="0"/>
          <w:cols w:space="720" w:num="1"/>
          <w:rtlGutter w:val="0"/>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rPr>
        <w:t>我校首批南开大学留学生兼职教师顺利赴任</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仿宋" w:hAnsi="仿宋" w:eastAsia="仿宋" w:cs="仿宋"/>
          <w:b w:val="0"/>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2月16-17日，在校长助理高雅、文学院党总支书记张甲楠的带领下，我校首批南开大学留学生兼职教师赴南开大学开展任教交流，受到了南开大学汉语言文化学院院长王立新、副院长刘松岩、院长助理梁晓萍、教学办主任任向青等热情接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期间，双方就我校留学生兼职教师在南开的教学、生活安排和有关要求进行了亲切交流。高雅就南开大学对我校师生提供的良好工作和生活条件表示感谢，并对我校师生提出了明确要求。希望他们在南开任教期间，热情工作，严守纪律，以高度负责任的工作态度和良好的综合素质，全力以赴做好教学工作，坚决不辜负双方领导的重托和期望，努力开创两校此项合作交流的良好开端。</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此项工作是我校“向名校看齐、与名校联手”人才培养工程的重要项目之一。首批赴南开担任留学生兼职教师的6名师生，是前期由南开大学汉语言文化学院与我校共同选拔产生的，将担任来自50余个国家的300余名留学生的教学任务。相信在学校的大力支持和南开大学汉语言文化学院的关心指导下，首批选派师生一定能够出色完成各项教学任务，为两校今后深入交流合作发挥积极作用。</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仿宋" w:hAnsi="仿宋" w:eastAsia="仿宋" w:cs="仿宋"/>
          <w:b w:val="0"/>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rPr>
        <w:t>我校</w:t>
      </w:r>
      <w:r>
        <w:rPr>
          <w:rFonts w:hint="eastAsia" w:ascii="方正小标宋简体" w:hAnsi="方正小标宋简体" w:eastAsia="方正小标宋简体" w:cs="方正小标宋简体"/>
          <w:b/>
          <w:i w:val="0"/>
          <w:caps w:val="0"/>
          <w:color w:val="auto"/>
          <w:spacing w:val="0"/>
          <w:sz w:val="44"/>
          <w:szCs w:val="44"/>
          <w:shd w:val="clear" w:color="auto" w:fill="FFFFFF"/>
          <w:lang w:eastAsia="zh-CN"/>
        </w:rPr>
        <w:t>两位</w:t>
      </w:r>
      <w:r>
        <w:rPr>
          <w:rFonts w:hint="eastAsia" w:ascii="方正小标宋简体" w:hAnsi="方正小标宋简体" w:eastAsia="方正小标宋简体" w:cs="方正小标宋简体"/>
          <w:b/>
          <w:i w:val="0"/>
          <w:caps w:val="0"/>
          <w:color w:val="auto"/>
          <w:spacing w:val="0"/>
          <w:sz w:val="44"/>
          <w:szCs w:val="44"/>
          <w:shd w:val="clear" w:color="auto" w:fill="FFFFFF"/>
        </w:rPr>
        <w:t>教师入选2018年度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rPr>
        <w:t>河南省高等学校青年骨干教师培养计划</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日前，河南教育厅下发《关于公布2018年度河南省高等学校青年骨干教师培养计划人选名单的通知》（教高[2019]75号），公布了2018年度河南省高等学校青年骨干教师培养计划人选名单，我校数学与信息学院张聪和理工学院李晓严2位教师入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河南省高等学校青年骨干教师培养计划是省教育厅为不断优化教师队伍结构，积极推进“人才强校”工程，加快中青年教师的培养步伐，提高我省高校教师队伍的整体素质而坚持实施的一项人才培养工程。该项培养计划每年选拔资助一次，以竞争选优、项目资助方式进行。省教育厅对青年骨干教师培养实行目标管理，考核合格者，将颁发“河南省高等学校青年骨干教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我校长期坚持将青年骨干教师培养放在师资队伍建设的重要位置，严格按照省教育厅要求，加强组织领导，加大经费投入，健全管理制度，完善培养培训体系，深化考核评价改革，促进教师专业发展，努力建设政治素质过硬、业务能力精湛、育人水平高超的高素质教师队伍，目前已有多名教师先后入选上述培养计划。此次两位教师入选教育厅青年骨干教师培养计划，是我校师资队伍建设的新成果，对我校青年教师加快成长步伐起到重要示范作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我校与浪潮集团举行战略合作签约仪式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2月22日，我校与浪潮集团战略合作签约仪式在综合楼1410会议室举行。浪潮国际中小企业事业部总经理徐翔宇、河南浪潮教育科技有限公司董事长刘向阳、浪潮国际豫晋区总监陈磊、河南浪潮教育科技有限公司总经理谷远，信阳学院理事长高云、名誉校长王北生、校长助理高雅出席签约仪式。商学院院长刘建中、大数据与人工智能学院院长邬长安、教务处处长兼科研处处长陈文涛、现代教育技术中心主任汪国安和理事办、校办、教务处、宣传部、现代教育技术中心、大数据与人工智能学院、商学院等单位有关负责人参加了签约仪式。</w:t>
      </w:r>
      <w:r>
        <w:rPr>
          <w:rFonts w:hint="eastAsia" w:ascii="仿宋" w:hAnsi="仿宋" w:eastAsia="仿宋" w:cs="仿宋"/>
          <w:b w:val="0"/>
          <w:i w:val="0"/>
          <w:caps w:val="0"/>
          <w:color w:val="auto"/>
          <w:spacing w:val="0"/>
          <w:sz w:val="32"/>
          <w:szCs w:val="32"/>
          <w:shd w:val="clear" w:color="auto" w:fill="FFFFFF"/>
          <w:lang w:eastAsia="zh-CN"/>
        </w:rPr>
        <w:t>王强副校长</w:t>
      </w:r>
      <w:r>
        <w:rPr>
          <w:rFonts w:hint="eastAsia" w:ascii="仿宋" w:hAnsi="仿宋" w:eastAsia="仿宋" w:cs="仿宋"/>
          <w:b w:val="0"/>
          <w:i w:val="0"/>
          <w:caps w:val="0"/>
          <w:color w:val="auto"/>
          <w:spacing w:val="0"/>
          <w:sz w:val="32"/>
          <w:szCs w:val="32"/>
          <w:shd w:val="clear" w:color="auto" w:fill="FFFFFF"/>
        </w:rPr>
        <w:t>主持了签约仪式。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高云致欢迎辞，向徐翔宇一行表示热烈欢迎，并简要介绍了学校的发展概况和办学成果。她表示，浪潮集团是中国最早的IT品牌之一，是具有领先地位的云计算、大数据服务商，是科技部首批认定的创新型企业。学校与浪潮集团有限公司签订战略合作协议，是一项具有长远意义的重要举措。双方将在“共建跨学科综合仿真模拟实训室”“专业共建，协同育人”“共建顶岗实习基地”“培训合作”“科研项目联合申报”“共建智慧校园”等方面深化合作，共同构建产学研联盟新体系，共同推进企业与高校的全面技术合作，努力实现“产教融合、校企合作、协同育人、产学双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徐翔宇指出，信阳学院位于环境优美、人杰地灵的信阳市，是一所充满蓬勃生机和极具发展潜力的高校。浪潮集团作为我国领先的计算机平台与IT应用解决方案供应商，在计算机软硬件、智能终端、大数据等方面具有较好的平台资源。集团高度重视人才培养和科技创新工作，与高校探索出了多种合作方式。浪潮集团高度重视与信阳学院的战略合作，希望双方以此为契机，在实验室、新商科、智慧校园建设等方面开展广泛合作，促进校企合作项目落地生根、结出硕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在热烈的气氛下，王北生与徐翔宇共同签署了信阳学院与浪潮集团战略合作协议。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会上，双方就实验室建设、专业共建、课程共开、协同育人、实践活动和双师型教师队伍建设等方面进行了深入交流。</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仿宋" w:hAnsi="仿宋" w:eastAsia="仿宋" w:cs="仿宋"/>
          <w:b w:val="0"/>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仿宋" w:hAnsi="仿宋" w:eastAsia="仿宋" w:cs="仿宋"/>
          <w:b w:val="0"/>
          <w:i w:val="0"/>
          <w:caps w:val="0"/>
          <w:color w:val="auto"/>
          <w:spacing w:val="0"/>
          <w:sz w:val="32"/>
          <w:szCs w:val="32"/>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rPr>
        <w:t>我校民办高等教育研究中心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rPr>
        <w:t>获批河南省首批高校智库联盟单位</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eastAsia" w:ascii="仿宋" w:hAnsi="仿宋" w:eastAsia="仿宋" w:cs="仿宋"/>
          <w:b/>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河南省教育厅发布了《关于成立河南省高校智库联盟的通知》，公布了河南省64家高校智库联盟单位名单，我校民办高等教育研究中心正式成为首批高校智库联盟单位之一。河南省高校智库联盟是由省教育厅主管、遴选、指导的应用对策型研究平台，主要发挥高校智库在战略研究、解读政策、咨政建言、推动交流方面的重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我校民办高等教育研究中心成立于2014年，前身为信阳师范学院华锐学院民办教育研究所，现拥有一支包括4名教授、1名副教授、5名博士在内的15人研究团队。中心联合北京师范大学中国民办教育研究院，致力于研究新形势下民办高等教育质量提升的措施和办法，为学校发展规划、国内民办教育改革发展提供科学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研究中心自成立以来，在集团董事会、学校理事会和党委、行政的关心、支持下，积极开展学术交流和研究，举办了“贯彻《民办教育促进法（修订版）》座谈会暨民办高校转型发展战略研讨会”“河南省民办高校教育教学改革与管理座谈会”等多个学术会议。2018年10月，成功举办“中国民办高等教育改革发展（信阳）论坛”，来自全国21省90多所高校、部分省市教育厅（委）、研究院（所）、期刊杂志社等机构的200多名专家学者参会，在民办高等教育领域产生了广泛影响。教育部发展规划司民办教育管理处处长顾然表示，论坛对民办高等教育“走共享发展、合作共赢之路”具有重大意义；中国民办教育协会会长、民进中央原副主席王佐书认为论坛发挥了“推动民办教育优化改革”作用；中共河南省教育厅党组书记、河南省教育厅厅长郑邦山表示，论坛为“谋划未来民办高等教育改革发展战略提供了重要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我校民办高等教育研究中心研究团队获批立项教育部青年项目《我国民办高校内涵式发展的问题及对策研究》、河南省高校哲学社会科学应用研究重大项目《“互联网+时代民办高校转型发展的战略与路径研究”》；参与教育部哲学社会科学重大课题攻关项目《民办教育分类管理政策实施跟踪与评估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目前，中心已初步形成了三类研究成果：一是组织编写《民办高等教育研究动态摘编》，现已刊印3期（含翻译外文文献30篇）；二是整理结集出版《中国民办高等教育改革发展（信阳）论坛论文集（2018）》，拟以研究报告或著作方式出版；三是组织开展项目研究，目前已设立开展民办高等教育研究专项20项，并给予经费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仿宋" w:hAnsi="仿宋" w:eastAsia="仿宋" w:cs="仿宋"/>
          <w:b w:val="0"/>
          <w:i w:val="0"/>
          <w:caps w:val="0"/>
          <w:color w:val="auto"/>
          <w:spacing w:val="0"/>
          <w:kern w:val="0"/>
          <w:sz w:val="32"/>
          <w:szCs w:val="32"/>
          <w:shd w:val="clear" w:color="auto" w:fill="FFFFFF"/>
          <w:lang w:val="en-US" w:eastAsia="zh-CN" w:bidi="ar"/>
        </w:rPr>
        <w:t>　　本次被确定为河南省高校智库联盟单位，是我校人文社科研究的一项重要成果，体现了民办高等教育研究中心的学术研究能力和服务地方经济社会发展的能力。今后，信阳学院民办高等教育研究中心将继续加强智库能力建设，紧扣时代脉搏，聚焦国家和河南省的重大决策部署，深化学术研究，搭建信息共享、资源共享、成果共享的交流平台，不断提升社会美誉度和影响力。</w:t>
      </w:r>
    </w:p>
    <w:p/>
    <w:p/>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A84736"/>
    <w:rsid w:val="1E356C3B"/>
    <w:rsid w:val="21B002EC"/>
    <w:rsid w:val="225F40CF"/>
    <w:rsid w:val="26074F1E"/>
    <w:rsid w:val="29B2106C"/>
    <w:rsid w:val="301C704B"/>
    <w:rsid w:val="37EA16F0"/>
    <w:rsid w:val="3C085737"/>
    <w:rsid w:val="3E345A48"/>
    <w:rsid w:val="47897F52"/>
    <w:rsid w:val="4FA70420"/>
    <w:rsid w:val="5C115A28"/>
    <w:rsid w:val="5F48582A"/>
    <w:rsid w:val="6E0835C6"/>
    <w:rsid w:val="70727787"/>
    <w:rsid w:val="71E91C1A"/>
    <w:rsid w:val="770D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2019-04-19T09:38:44Z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